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8D555"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东南大学-中国移动研究院联合创新中心</w:t>
      </w:r>
    </w:p>
    <w:p w14:paraId="0F09107A"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  <w:t>创新探索基金课题指南</w:t>
      </w:r>
    </w:p>
    <w:p w14:paraId="742B3298"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  <w:lang w:eastAsia="zh-CN"/>
        </w:rPr>
      </w:pPr>
    </w:p>
    <w:p w14:paraId="319015C7">
      <w:pPr>
        <w:widowControl/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  <w:lang w:eastAsia="zh-CN"/>
        </w:rPr>
        <w:t>课题基本信息</w:t>
      </w:r>
    </w:p>
    <w:tbl>
      <w:tblPr>
        <w:tblStyle w:val="6"/>
        <w:tblW w:w="502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6552"/>
      </w:tblGrid>
      <w:tr w14:paraId="0C680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72" w:type="pct"/>
            <w:vAlign w:val="center"/>
          </w:tcPr>
          <w:p w14:paraId="4A6E0CDC">
            <w:pPr>
              <w:spacing w:line="240" w:lineRule="auto"/>
              <w:jc w:val="center"/>
              <w:rPr>
                <w:rFonts w:ascii="仿宋_GB2312" w:hAnsi="黑体" w:eastAsia="仿宋_GB2312" w:cs="黑体"/>
                <w:color w:val="000000"/>
                <w:position w:val="6"/>
                <w:sz w:val="24"/>
              </w:rPr>
            </w:pP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  <w:t>课题名称</w:t>
            </w:r>
          </w:p>
        </w:tc>
        <w:tc>
          <w:tcPr>
            <w:tcW w:w="6552" w:type="dxa"/>
            <w:vAlign w:val="center"/>
          </w:tcPr>
          <w:p w14:paraId="469A8908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position w:val="6"/>
                <w:sz w:val="24"/>
              </w:rPr>
            </w:pPr>
            <w:r>
              <w:rPr>
                <w:rFonts w:hint="eastAsia" w:ascii="仿宋_GB2312" w:hAnsi="黑体" w:eastAsia="仿宋_GB2312" w:cs="黑体"/>
                <w:position w:val="6"/>
                <w:sz w:val="24"/>
              </w:rPr>
              <w:t>基于可解释AI的信道获取</w:t>
            </w:r>
            <w:r>
              <w:rPr>
                <w:rFonts w:hint="eastAsia" w:ascii="仿宋_GB2312" w:hAnsi="黑体" w:eastAsia="仿宋_GB2312" w:cs="黑体"/>
                <w:position w:val="6"/>
                <w:sz w:val="24"/>
                <w:lang w:val="en-US" w:eastAsia="zh-CN"/>
              </w:rPr>
              <w:t>方法</w:t>
            </w:r>
            <w:r>
              <w:rPr>
                <w:rFonts w:hint="eastAsia" w:ascii="仿宋_GB2312" w:hAnsi="黑体" w:eastAsia="仿宋_GB2312" w:cs="黑体"/>
                <w:position w:val="6"/>
                <w:sz w:val="24"/>
              </w:rPr>
              <w:t>研究</w:t>
            </w:r>
          </w:p>
        </w:tc>
      </w:tr>
      <w:tr w14:paraId="4D8DD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72" w:type="pct"/>
            <w:vAlign w:val="center"/>
          </w:tcPr>
          <w:p w14:paraId="5C2F50DA">
            <w:pPr>
              <w:spacing w:line="240" w:lineRule="auto"/>
              <w:jc w:val="center"/>
              <w:rPr>
                <w:rFonts w:hint="default" w:ascii="仿宋_GB2312" w:hAnsi="黑体" w:eastAsia="仿宋_GB2312" w:cs="黑体"/>
                <w:color w:val="000000"/>
                <w:position w:val="6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  <w:lang w:val="en-US" w:eastAsia="zh-CN"/>
              </w:rPr>
              <w:t>所属合作领域</w:t>
            </w:r>
          </w:p>
        </w:tc>
        <w:tc>
          <w:tcPr>
            <w:tcW w:w="6552" w:type="dxa"/>
            <w:vAlign w:val="center"/>
          </w:tcPr>
          <w:p w14:paraId="22860D81"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position w:val="6"/>
                <w:sz w:val="24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position w:val="6"/>
                <w:sz w:val="24"/>
                <w:lang w:val="en-US" w:eastAsia="zh-CN"/>
              </w:rPr>
              <w:t>移动通信</w:t>
            </w:r>
          </w:p>
        </w:tc>
      </w:tr>
      <w:tr w14:paraId="660B0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72" w:type="pct"/>
            <w:vAlign w:val="center"/>
          </w:tcPr>
          <w:p w14:paraId="08051BF9">
            <w:pPr>
              <w:spacing w:line="240" w:lineRule="auto"/>
              <w:jc w:val="center"/>
              <w:rPr>
                <w:rFonts w:ascii="仿宋_GB2312" w:hAnsi="黑体" w:eastAsia="仿宋_GB2312" w:cs="黑体"/>
                <w:color w:val="000000"/>
                <w:position w:val="6"/>
                <w:sz w:val="24"/>
              </w:rPr>
            </w:pP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  <w:t>课题</w:t>
            </w: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  <w:lang w:val="en-US" w:eastAsia="zh-CN"/>
              </w:rPr>
              <w:t>周期</w:t>
            </w:r>
          </w:p>
        </w:tc>
        <w:tc>
          <w:tcPr>
            <w:tcW w:w="6552" w:type="dxa"/>
            <w:vAlign w:val="center"/>
          </w:tcPr>
          <w:p w14:paraId="3482E615">
            <w:pPr>
              <w:spacing w:line="320" w:lineRule="exact"/>
              <w:ind w:firstLine="360" w:firstLineChars="150"/>
              <w:jc w:val="center"/>
              <w:rPr>
                <w:rFonts w:hint="default" w:ascii="仿宋_GB2312" w:hAnsi="Calibri" w:eastAsia="仿宋_GB2312" w:cs="黑体"/>
                <w:color w:val="000000"/>
                <w:position w:val="6"/>
                <w:sz w:val="24"/>
                <w:lang w:val="en-US" w:eastAsia="zh-CN"/>
              </w:rPr>
            </w:pPr>
            <w:r>
              <w:rPr>
                <w:rFonts w:hint="eastAsia" w:ascii="仿宋_GB2312" w:hAnsi="Calibri" w:eastAsia="仿宋_GB2312" w:cs="黑体"/>
                <w:color w:val="000000"/>
                <w:position w:val="6"/>
                <w:sz w:val="24"/>
                <w:lang w:val="en-US" w:eastAsia="zh-CN"/>
              </w:rPr>
              <w:t>课题任务合同书签订起——2026年6月30日</w:t>
            </w:r>
          </w:p>
        </w:tc>
      </w:tr>
      <w:tr w14:paraId="32E90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172" w:type="pct"/>
            <w:vAlign w:val="center"/>
          </w:tcPr>
          <w:p w14:paraId="6DFC6102">
            <w:pPr>
              <w:spacing w:line="240" w:lineRule="auto"/>
              <w:jc w:val="center"/>
              <w:rPr>
                <w:rFonts w:hint="eastAsia" w:ascii="仿宋_GB2312" w:hAnsi="黑体" w:eastAsia="仿宋_GB2312" w:cs="黑体"/>
                <w:color w:val="000000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4"/>
                <w:highlight w:val="none"/>
                <w:lang w:eastAsia="zh-CN"/>
              </w:rPr>
              <w:t>课题联系人</w:t>
            </w:r>
          </w:p>
        </w:tc>
        <w:tc>
          <w:tcPr>
            <w:tcW w:w="3827" w:type="pct"/>
            <w:vAlign w:val="center"/>
          </w:tcPr>
          <w:p w14:paraId="35F86E1D">
            <w:pPr>
              <w:spacing w:line="240" w:lineRule="auto"/>
              <w:jc w:val="center"/>
              <w:rPr>
                <w:rFonts w:hint="eastAsia" w:ascii="仿宋_GB2312" w:hAnsi="Calibri" w:eastAsia="仿宋_GB2312" w:cs="黑体"/>
                <w:color w:val="000000"/>
                <w:kern w:val="2"/>
                <w:position w:val="6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  <w:lang w:eastAsia="zh-CN"/>
              </w:rPr>
              <w:t>姓名：</w:t>
            </w:r>
            <w:r>
              <w:rPr>
                <w:rFonts w:hint="eastAsia" w:ascii="仿宋_GB2312" w:hAnsi="Calibri" w:eastAsia="仿宋_GB2312" w:cs="黑体"/>
                <w:color w:val="000000"/>
                <w:kern w:val="2"/>
                <w:position w:val="6"/>
                <w:sz w:val="24"/>
                <w:szCs w:val="24"/>
                <w:lang w:val="en-US" w:eastAsia="zh-CN" w:bidi="ar-SA"/>
              </w:rPr>
              <w:t>韩双锋</w:t>
            </w: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  <w:t>联系电话</w:t>
            </w: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  <w:lang w:eastAsia="zh-CN"/>
              </w:rPr>
              <w:t>：</w:t>
            </w:r>
            <w:r>
              <w:rPr>
                <w:rFonts w:hint="eastAsia" w:ascii="仿宋_GB2312" w:hAnsi="Calibri" w:eastAsia="仿宋_GB2312" w:cs="黑体"/>
                <w:position w:val="6"/>
                <w:sz w:val="24"/>
              </w:rPr>
              <w:t>18211062226</w:t>
            </w:r>
          </w:p>
        </w:tc>
      </w:tr>
    </w:tbl>
    <w:p w14:paraId="0AA93932">
      <w:pPr>
        <w:widowControl/>
        <w:numPr>
          <w:ilvl w:val="0"/>
          <w:numId w:val="0"/>
        </w:numPr>
        <w:ind w:left="420" w:leftChars="0"/>
        <w:jc w:val="both"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  <w:lang w:eastAsia="zh-CN"/>
        </w:rPr>
      </w:pPr>
    </w:p>
    <w:p w14:paraId="083EFBCB">
      <w:pPr>
        <w:widowControl/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  <w:lang w:eastAsia="zh-CN"/>
        </w:rPr>
        <w:t>研究背景</w:t>
      </w:r>
    </w:p>
    <w:p w14:paraId="250E191E">
      <w:pPr>
        <w:ind w:firstLine="600" w:firstLineChars="200"/>
        <w:rPr>
          <w:rFonts w:ascii="仿宋_GB2312" w:hAnsi="宋体" w:eastAsia="仿宋_GB2312"/>
          <w:bCs/>
          <w:sz w:val="30"/>
          <w:szCs w:val="30"/>
        </w:rPr>
      </w:pPr>
      <w:r>
        <w:rPr>
          <w:rFonts w:hint="eastAsia" w:ascii="仿宋_GB2312" w:hAnsi="宋体" w:eastAsia="仿宋_GB2312"/>
          <w:bCs/>
          <w:sz w:val="30"/>
          <w:szCs w:val="30"/>
        </w:rPr>
        <w:t>近年来，A</w:t>
      </w:r>
      <w:r>
        <w:rPr>
          <w:rFonts w:ascii="仿宋_GB2312" w:hAnsi="宋体" w:eastAsia="仿宋_GB2312"/>
          <w:bCs/>
          <w:sz w:val="30"/>
          <w:szCs w:val="30"/>
        </w:rPr>
        <w:t>I</w:t>
      </w:r>
      <w:r>
        <w:rPr>
          <w:rFonts w:hint="eastAsia" w:ascii="仿宋_GB2312" w:hAnsi="宋体" w:eastAsia="仿宋_GB2312"/>
          <w:bCs/>
          <w:sz w:val="30"/>
          <w:szCs w:val="30"/>
        </w:rPr>
        <w:t>在空口</w:t>
      </w:r>
      <w:r>
        <w:rPr>
          <w:rFonts w:ascii="仿宋_GB2312" w:hAnsi="宋体" w:eastAsia="仿宋_GB2312"/>
          <w:bCs/>
          <w:sz w:val="30"/>
          <w:szCs w:val="30"/>
        </w:rPr>
        <w:t>领域取得的显著进展，为未来通信网络的演进奠定了坚实基础</w:t>
      </w:r>
      <w:r>
        <w:rPr>
          <w:rFonts w:hint="eastAsia" w:ascii="仿宋_GB2312" w:hAnsi="宋体" w:eastAsia="仿宋_GB2312"/>
          <w:bCs/>
          <w:sz w:val="30"/>
          <w:szCs w:val="30"/>
        </w:rPr>
        <w:t>。现阶段的A</w:t>
      </w:r>
      <w:r>
        <w:rPr>
          <w:rFonts w:ascii="仿宋_GB2312" w:hAnsi="宋体" w:eastAsia="仿宋_GB2312"/>
          <w:bCs/>
          <w:sz w:val="30"/>
          <w:szCs w:val="30"/>
        </w:rPr>
        <w:t>I</w:t>
      </w:r>
      <w:r>
        <w:rPr>
          <w:rFonts w:hint="eastAsia" w:ascii="仿宋_GB2312" w:hAnsi="宋体" w:eastAsia="仿宋_GB2312"/>
          <w:bCs/>
          <w:sz w:val="30"/>
          <w:szCs w:val="30"/>
        </w:rPr>
        <w:t>空口</w:t>
      </w:r>
      <w:r>
        <w:rPr>
          <w:rFonts w:ascii="仿宋_GB2312" w:hAnsi="宋体" w:eastAsia="仿宋_GB2312"/>
          <w:bCs/>
          <w:sz w:val="30"/>
          <w:szCs w:val="30"/>
        </w:rPr>
        <w:t>直接借鉴了计算机领域的AI技术，通过堆叠大量神经网络来提升特定通信模块的性能。然而，</w:t>
      </w:r>
      <w:r>
        <w:rPr>
          <w:rFonts w:hint="eastAsia" w:ascii="仿宋_GB2312" w:hAnsi="宋体" w:eastAsia="仿宋_GB2312"/>
          <w:bCs/>
          <w:sz w:val="30"/>
          <w:szCs w:val="30"/>
        </w:rPr>
        <w:t>这类方法</w:t>
      </w:r>
      <w:r>
        <w:rPr>
          <w:rFonts w:ascii="仿宋_GB2312" w:hAnsi="宋体" w:eastAsia="仿宋_GB2312"/>
          <w:bCs/>
          <w:sz w:val="30"/>
          <w:szCs w:val="30"/>
        </w:rPr>
        <w:t>整体实现手段较为粗暴简单，往往将复杂的通信问题简化为“黑盒”处理，</w:t>
      </w:r>
      <w:r>
        <w:rPr>
          <w:rFonts w:hint="eastAsia" w:ascii="仿宋_GB2312" w:hAnsi="宋体" w:eastAsia="仿宋_GB2312"/>
          <w:bCs/>
          <w:sz w:val="30"/>
          <w:szCs w:val="30"/>
        </w:rPr>
        <w:t>存在</w:t>
      </w:r>
      <w:r>
        <w:rPr>
          <w:rFonts w:ascii="仿宋_GB2312" w:hAnsi="宋体" w:eastAsia="仿宋_GB2312"/>
          <w:bCs/>
          <w:sz w:val="30"/>
          <w:szCs w:val="30"/>
        </w:rPr>
        <w:t>以复杂度换取性能提升的</w:t>
      </w:r>
      <w:r>
        <w:rPr>
          <w:rFonts w:hint="eastAsia" w:ascii="仿宋_GB2312" w:hAnsi="宋体" w:eastAsia="仿宋_GB2312"/>
          <w:bCs/>
          <w:sz w:val="30"/>
          <w:szCs w:val="30"/>
        </w:rPr>
        <w:t>痼疾</w:t>
      </w:r>
      <w:r>
        <w:rPr>
          <w:rFonts w:ascii="仿宋_GB2312" w:hAnsi="宋体" w:eastAsia="仿宋_GB2312"/>
          <w:bCs/>
          <w:sz w:val="30"/>
          <w:szCs w:val="30"/>
        </w:rPr>
        <w:t>。首先，空口神经网络的设计基本继承了计算机领域较为成熟的网络架构，通过不断试错调整神经网络架构和训练超参数。其次，大量堆叠神经网络忽视了空口的算力限制和高实时性需求</w:t>
      </w:r>
      <w:r>
        <w:rPr>
          <w:rFonts w:hint="eastAsia" w:ascii="仿宋_GB2312" w:hAnsi="宋体" w:eastAsia="仿宋_GB2312"/>
          <w:bCs/>
          <w:sz w:val="30"/>
          <w:szCs w:val="30"/>
        </w:rPr>
        <w:t>，这</w:t>
      </w:r>
      <w:r>
        <w:rPr>
          <w:rFonts w:ascii="仿宋_GB2312" w:hAnsi="宋体" w:eastAsia="仿宋_GB2312"/>
          <w:bCs/>
          <w:sz w:val="30"/>
          <w:szCs w:val="30"/>
        </w:rPr>
        <w:t>增加了设备的能耗和成本，还可能因处理延迟而影响通信的实时性和稳定性。</w:t>
      </w:r>
    </w:p>
    <w:p w14:paraId="02BC7254">
      <w:pPr>
        <w:ind w:firstLine="600" w:firstLineChars="200"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  <w:lang w:eastAsia="zh-CN"/>
        </w:rPr>
      </w:pPr>
      <w:r>
        <w:rPr>
          <w:rFonts w:ascii="仿宋_GB2312" w:hAnsi="宋体" w:eastAsia="仿宋_GB2312"/>
          <w:bCs/>
          <w:sz w:val="30"/>
          <w:szCs w:val="30"/>
        </w:rPr>
        <w:t>在可解释</w:t>
      </w:r>
      <w:r>
        <w:rPr>
          <w:rFonts w:hint="eastAsia" w:ascii="仿宋_GB2312" w:hAnsi="宋体" w:eastAsia="仿宋_GB2312"/>
          <w:bCs/>
          <w:sz w:val="30"/>
          <w:szCs w:val="30"/>
        </w:rPr>
        <w:t>AI空口</w:t>
      </w:r>
      <w:r>
        <w:rPr>
          <w:rFonts w:ascii="仿宋_GB2312" w:hAnsi="宋体" w:eastAsia="仿宋_GB2312"/>
          <w:bCs/>
          <w:sz w:val="30"/>
          <w:szCs w:val="30"/>
        </w:rPr>
        <w:t>的研究中，业界与学术界均积极探索其潜力。产业界如</w:t>
      </w:r>
      <w:r>
        <w:rPr>
          <w:rFonts w:hint="eastAsia" w:ascii="仿宋_GB2312" w:hAnsi="宋体" w:eastAsia="仿宋_GB2312"/>
          <w:bCs/>
          <w:sz w:val="30"/>
          <w:szCs w:val="30"/>
        </w:rPr>
        <w:t>爱立信、</w:t>
      </w:r>
      <w:r>
        <w:rPr>
          <w:rFonts w:ascii="仿宋_GB2312" w:hAnsi="宋体" w:eastAsia="仿宋_GB2312"/>
          <w:bCs/>
          <w:sz w:val="30"/>
          <w:szCs w:val="30"/>
        </w:rPr>
        <w:t>诺基亚和</w:t>
      </w:r>
      <w:r>
        <w:rPr>
          <w:rFonts w:hint="eastAsia" w:ascii="仿宋_GB2312" w:hAnsi="宋体" w:eastAsia="仿宋_GB2312"/>
          <w:bCs/>
          <w:sz w:val="30"/>
          <w:szCs w:val="30"/>
        </w:rPr>
        <w:t>英飞凌</w:t>
      </w:r>
      <w:r>
        <w:rPr>
          <w:rFonts w:ascii="仿宋_GB2312" w:hAnsi="宋体" w:eastAsia="仿宋_GB2312"/>
          <w:bCs/>
          <w:sz w:val="30"/>
          <w:szCs w:val="30"/>
        </w:rPr>
        <w:t>等公司已经开始将可解释AI纳入产品开发，利用SHAP和LIME等工具分析深度学习模型的决策过程，以提升系统的可靠性和透明度，特别是在信号处理和故障排查方面。同时，学术界也在推动相关研究，提出结合注意力机制的模型来增强对信道特征的重要性分析，从而提高预测准确性和可解释性。此外，研究者们针对调制识别和信道估计等任务，构建可解释的神经网络架构，使其在复杂信号环境中仍能提供清晰的决策依据。</w:t>
      </w:r>
      <w:r>
        <w:rPr>
          <w:rFonts w:hint="eastAsia" w:ascii="仿宋_GB2312" w:hAnsi="宋体" w:eastAsia="仿宋_GB2312"/>
          <w:bCs/>
          <w:sz w:val="30"/>
          <w:szCs w:val="30"/>
          <w:lang w:val="en-US" w:eastAsia="zh-CN"/>
        </w:rPr>
        <w:t>可解释AI技术对于实现低复杂度强泛化性的AI模型至关重要，但是业界研究非常少。</w:t>
      </w:r>
    </w:p>
    <w:p w14:paraId="6FAD6E50">
      <w:pPr>
        <w:widowControl/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  <w:lang w:eastAsia="zh-CN"/>
        </w:rPr>
        <w:t>研究内容</w:t>
      </w:r>
    </w:p>
    <w:p w14:paraId="74714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通过本课题，将实现以下目标：</w:t>
      </w:r>
    </w:p>
    <w:p w14:paraId="090E5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以智能空口相关典型示例为例，打破目前AI空口技术的“黑盒”设计理念，充分利用各种技术，探究智能空口技术的内在工作机理，实现更高效的极简可解释AI空口设计，通过低复杂度AI算法实现系统性能的大幅度提升，提出极简和自演进的AI空口框架。</w:t>
      </w:r>
    </w:p>
    <w:p w14:paraId="1AB4C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本课题的主要研究内容包括：</w:t>
      </w:r>
    </w:p>
    <w:p w14:paraId="5D8DE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任务1.挖掘空口AI神经网络参数的物理含义，以信道获取为例来研究其与不同场景数据集分布的对应关系；</w:t>
      </w:r>
    </w:p>
    <w:p w14:paraId="1B6DB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任务2.构建适用于智能空口的极简可解释AI框架，以信道获取为例实现神经网络模型的直观可视，</w:t>
      </w:r>
      <w:bookmarkStart w:id="0" w:name="OLE_LINK3"/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以极简结构增强泛化性，实现场景快速适应能力，同时降低泛化性增强所需开销</w:t>
      </w:r>
      <w:bookmarkEnd w:id="0"/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；</w:t>
      </w:r>
    </w:p>
    <w:p w14:paraId="125B0B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任务3.极简和自演进的AI空口框架研究，提出数据采集、模型训练、实时AI推理的RAN AI实现框架。</w:t>
      </w:r>
    </w:p>
    <w:p w14:paraId="3E3792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</w:pPr>
    </w:p>
    <w:p w14:paraId="37C7B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  <w:lang w:eastAsia="zh-CN"/>
        </w:rPr>
      </w:pPr>
      <w:r>
        <w:rPr>
          <w:rFonts w:hint="eastAsia" w:ascii="仿宋_GB2312" w:hAnsi="宋体" w:eastAsia="仿宋_GB2312" w:cs="Times New Roman"/>
          <w:bCs/>
          <w:kern w:val="2"/>
          <w:sz w:val="30"/>
          <w:szCs w:val="30"/>
          <w:lang w:val="en-US" w:eastAsia="zh-CN" w:bidi="ar-SA"/>
        </w:rPr>
        <w:t>其中上述任务3由中国移动研究院承担，东南大学提供仿真和平台支撑；其他任务由东南大学承担，中国移动研究院在设计理念和思路方面进行密切合作。</w:t>
      </w:r>
    </w:p>
    <w:p w14:paraId="5BAB9F60">
      <w:pPr>
        <w:widowControl/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_GB2312" w:hAnsi="仿宋" w:eastAsia="仿宋_GB2312"/>
          <w:color w:val="FF0000"/>
          <w:sz w:val="30"/>
          <w:szCs w:val="30"/>
          <w:lang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0"/>
          <w:szCs w:val="30"/>
          <w:lang w:eastAsia="zh-CN"/>
        </w:rPr>
        <w:t>预期成果及成效</w:t>
      </w:r>
    </w:p>
    <w:tbl>
      <w:tblPr>
        <w:tblStyle w:val="7"/>
        <w:tblW w:w="87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226"/>
        <w:gridCol w:w="776"/>
        <w:gridCol w:w="716"/>
        <w:gridCol w:w="1029"/>
        <w:gridCol w:w="1866"/>
        <w:gridCol w:w="942"/>
        <w:gridCol w:w="877"/>
        <w:gridCol w:w="728"/>
      </w:tblGrid>
      <w:tr w14:paraId="146FB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554" w:type="dxa"/>
            <w:vAlign w:val="center"/>
          </w:tcPr>
          <w:p w14:paraId="4F191255">
            <w:pPr>
              <w:spacing w:line="240" w:lineRule="auto"/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26" w:type="dxa"/>
            <w:vAlign w:val="center"/>
          </w:tcPr>
          <w:p w14:paraId="54CC2572">
            <w:pPr>
              <w:spacing w:line="240" w:lineRule="auto"/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成果名称</w:t>
            </w:r>
          </w:p>
        </w:tc>
        <w:tc>
          <w:tcPr>
            <w:tcW w:w="776" w:type="dxa"/>
            <w:vAlign w:val="center"/>
          </w:tcPr>
          <w:p w14:paraId="3E6C3F16">
            <w:pPr>
              <w:spacing w:line="240" w:lineRule="auto"/>
              <w:jc w:val="center"/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716" w:type="dxa"/>
            <w:vAlign w:val="center"/>
          </w:tcPr>
          <w:p w14:paraId="3AEDEB09">
            <w:pPr>
              <w:spacing w:line="240" w:lineRule="auto"/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成果类型</w:t>
            </w:r>
          </w:p>
        </w:tc>
        <w:tc>
          <w:tcPr>
            <w:tcW w:w="1029" w:type="dxa"/>
            <w:vAlign w:val="center"/>
          </w:tcPr>
          <w:p w14:paraId="7F9EC9ED">
            <w:pPr>
              <w:spacing w:line="240" w:lineRule="auto"/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交付时间</w:t>
            </w:r>
          </w:p>
        </w:tc>
        <w:tc>
          <w:tcPr>
            <w:tcW w:w="1866" w:type="dxa"/>
            <w:vAlign w:val="center"/>
          </w:tcPr>
          <w:p w14:paraId="5575F734">
            <w:pPr>
              <w:spacing w:line="240" w:lineRule="auto"/>
              <w:jc w:val="center"/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考核指标</w:t>
            </w:r>
          </w:p>
          <w:p w14:paraId="2497E998">
            <w:pPr>
              <w:spacing w:line="240" w:lineRule="auto"/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（成果要求量化可衡量）</w:t>
            </w:r>
          </w:p>
        </w:tc>
        <w:tc>
          <w:tcPr>
            <w:tcW w:w="942" w:type="dxa"/>
            <w:vAlign w:val="center"/>
          </w:tcPr>
          <w:p w14:paraId="00965F0C">
            <w:pPr>
              <w:spacing w:line="240" w:lineRule="auto"/>
              <w:jc w:val="center"/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是否为核心成果</w:t>
            </w:r>
          </w:p>
        </w:tc>
        <w:tc>
          <w:tcPr>
            <w:tcW w:w="877" w:type="dxa"/>
            <w:vAlign w:val="center"/>
          </w:tcPr>
          <w:p w14:paraId="33B1DEEA">
            <w:pPr>
              <w:spacing w:line="240" w:lineRule="auto"/>
              <w:jc w:val="center"/>
              <w:rPr>
                <w:rFonts w:hint="default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知识产权</w:t>
            </w:r>
          </w:p>
        </w:tc>
        <w:tc>
          <w:tcPr>
            <w:tcW w:w="728" w:type="dxa"/>
            <w:vAlign w:val="center"/>
          </w:tcPr>
          <w:p w14:paraId="41C15743">
            <w:pPr>
              <w:spacing w:line="240" w:lineRule="auto"/>
              <w:jc w:val="center"/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成果形式</w:t>
            </w:r>
          </w:p>
        </w:tc>
      </w:tr>
      <w:tr w14:paraId="1C2E9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554" w:type="dxa"/>
            <w:vAlign w:val="center"/>
          </w:tcPr>
          <w:p w14:paraId="6CD37AE3">
            <w:pPr>
              <w:pStyle w:val="3"/>
              <w:spacing w:line="440" w:lineRule="exact"/>
              <w:rPr>
                <w:rFonts w:hint="eastAsia" w:ascii="仿宋" w:hAnsi="仿宋" w:eastAsia="仿宋" w:cs="仿宋"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26" w:type="dxa"/>
            <w:vAlign w:val="center"/>
          </w:tcPr>
          <w:p w14:paraId="799FF320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空口神经网络内在机理研究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报告</w:t>
            </w:r>
          </w:p>
        </w:tc>
        <w:tc>
          <w:tcPr>
            <w:tcW w:w="776" w:type="dxa"/>
            <w:vAlign w:val="center"/>
          </w:tcPr>
          <w:p w14:paraId="5667D7D5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6" w:type="dxa"/>
            <w:vAlign w:val="center"/>
          </w:tcPr>
          <w:p w14:paraId="1BB46C4F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研究报告</w:t>
            </w:r>
          </w:p>
        </w:tc>
        <w:tc>
          <w:tcPr>
            <w:tcW w:w="1029" w:type="dxa"/>
            <w:vAlign w:val="center"/>
          </w:tcPr>
          <w:p w14:paraId="6B0D54BD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2026年6月</w:t>
            </w:r>
          </w:p>
        </w:tc>
        <w:tc>
          <w:tcPr>
            <w:tcW w:w="1866" w:type="dxa"/>
            <w:vAlign w:val="center"/>
          </w:tcPr>
          <w:p w14:paraId="376106F0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基于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AI空口神经网络分析软件平台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输出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在典型AI空口模块上的仿真结果</w:t>
            </w:r>
          </w:p>
        </w:tc>
        <w:tc>
          <w:tcPr>
            <w:tcW w:w="942" w:type="dxa"/>
            <w:vAlign w:val="center"/>
          </w:tcPr>
          <w:p w14:paraId="17485E5C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877" w:type="dxa"/>
            <w:vAlign w:val="center"/>
          </w:tcPr>
          <w:p w14:paraId="7D795B17">
            <w:pPr>
              <w:pStyle w:val="3"/>
              <w:spacing w:line="440" w:lineRule="exact"/>
              <w:rPr>
                <w:rFonts w:hint="default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双方共有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57019DE">
            <w:pPr>
              <w:pStyle w:val="3"/>
              <w:spacing w:line="440" w:lineRule="exact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其他</w:t>
            </w:r>
          </w:p>
        </w:tc>
      </w:tr>
      <w:tr w14:paraId="60781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554" w:type="dxa"/>
            <w:vAlign w:val="center"/>
          </w:tcPr>
          <w:p w14:paraId="367EB720">
            <w:pPr>
              <w:pStyle w:val="3"/>
              <w:spacing w:line="440" w:lineRule="exact"/>
              <w:rPr>
                <w:rFonts w:hint="eastAsia" w:ascii="仿宋" w:hAnsi="仿宋" w:eastAsia="仿宋" w:cs="仿宋"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26" w:type="dxa"/>
            <w:vAlign w:val="center"/>
          </w:tcPr>
          <w:p w14:paraId="7750B716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可解释AI空口高效神经网络设计和泛化性增强研究报告</w:t>
            </w:r>
          </w:p>
        </w:tc>
        <w:tc>
          <w:tcPr>
            <w:tcW w:w="776" w:type="dxa"/>
            <w:vAlign w:val="center"/>
          </w:tcPr>
          <w:p w14:paraId="646E5C01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6" w:type="dxa"/>
            <w:vAlign w:val="center"/>
          </w:tcPr>
          <w:p w14:paraId="16AAF1DA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研究报告</w:t>
            </w:r>
          </w:p>
        </w:tc>
        <w:tc>
          <w:tcPr>
            <w:tcW w:w="1029" w:type="dxa"/>
            <w:vAlign w:val="center"/>
          </w:tcPr>
          <w:p w14:paraId="1D2BDC8D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2026年6月</w:t>
            </w:r>
          </w:p>
        </w:tc>
        <w:tc>
          <w:tcPr>
            <w:tcW w:w="1866" w:type="dxa"/>
            <w:vAlign w:val="center"/>
          </w:tcPr>
          <w:p w14:paraId="0EBB376F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降低泛化性增强所需开销，训练时间降低30%，训练样本量减少50%</w:t>
            </w:r>
          </w:p>
        </w:tc>
        <w:tc>
          <w:tcPr>
            <w:tcW w:w="942" w:type="dxa"/>
            <w:vAlign w:val="center"/>
          </w:tcPr>
          <w:p w14:paraId="4041FDDC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是</w:t>
            </w:r>
          </w:p>
        </w:tc>
        <w:tc>
          <w:tcPr>
            <w:tcW w:w="877" w:type="dxa"/>
            <w:vAlign w:val="center"/>
          </w:tcPr>
          <w:p w14:paraId="06C5418B">
            <w:pPr>
              <w:pStyle w:val="3"/>
              <w:spacing w:line="440" w:lineRule="exact"/>
              <w:rPr>
                <w:rFonts w:hint="default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双方共有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8203032">
            <w:pPr>
              <w:pStyle w:val="3"/>
              <w:spacing w:line="440" w:lineRule="exact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其他</w:t>
            </w:r>
          </w:p>
        </w:tc>
      </w:tr>
      <w:tr w14:paraId="0F08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554" w:type="dxa"/>
            <w:vAlign w:val="center"/>
          </w:tcPr>
          <w:p w14:paraId="61F49521">
            <w:pPr>
              <w:pStyle w:val="3"/>
              <w:spacing w:line="440" w:lineRule="exac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26" w:type="dxa"/>
            <w:vAlign w:val="center"/>
          </w:tcPr>
          <w:p w14:paraId="7563A1BA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极简和自演进的AI空口研究报告</w:t>
            </w:r>
          </w:p>
        </w:tc>
        <w:tc>
          <w:tcPr>
            <w:tcW w:w="776" w:type="dxa"/>
            <w:vAlign w:val="center"/>
          </w:tcPr>
          <w:p w14:paraId="65FB3170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6" w:type="dxa"/>
            <w:vAlign w:val="center"/>
          </w:tcPr>
          <w:p w14:paraId="7A553A0A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研究报告</w:t>
            </w:r>
          </w:p>
        </w:tc>
        <w:tc>
          <w:tcPr>
            <w:tcW w:w="1029" w:type="dxa"/>
            <w:vAlign w:val="center"/>
          </w:tcPr>
          <w:p w14:paraId="5D97C48A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2026年6月</w:t>
            </w:r>
          </w:p>
        </w:tc>
        <w:tc>
          <w:tcPr>
            <w:tcW w:w="1866" w:type="dxa"/>
            <w:vAlign w:val="center"/>
          </w:tcPr>
          <w:p w14:paraId="5BBF24CF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包括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数据采集、模型训练、实时AI推理的RAN AI实现框架</w:t>
            </w:r>
          </w:p>
        </w:tc>
        <w:tc>
          <w:tcPr>
            <w:tcW w:w="942" w:type="dxa"/>
            <w:vAlign w:val="center"/>
          </w:tcPr>
          <w:p w14:paraId="681A5D66">
            <w:pPr>
              <w:pStyle w:val="3"/>
              <w:spacing w:line="440" w:lineRule="exact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877" w:type="dxa"/>
            <w:vAlign w:val="center"/>
          </w:tcPr>
          <w:p w14:paraId="4FC1C321">
            <w:pPr>
              <w:pStyle w:val="3"/>
              <w:spacing w:line="440" w:lineRule="exact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双方共有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95C01B1">
            <w:pPr>
              <w:pStyle w:val="3"/>
              <w:spacing w:line="440" w:lineRule="exact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其他</w:t>
            </w:r>
          </w:p>
        </w:tc>
      </w:tr>
      <w:tr w14:paraId="3C59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554" w:type="dxa"/>
            <w:vAlign w:val="center"/>
          </w:tcPr>
          <w:p w14:paraId="527B0290">
            <w:pPr>
              <w:pStyle w:val="3"/>
              <w:spacing w:line="440" w:lineRule="exac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26" w:type="dxa"/>
            <w:vAlign w:val="center"/>
          </w:tcPr>
          <w:p w14:paraId="5CFC520B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可解释AI空口高效神经网络设计和泛化性增强</w:t>
            </w:r>
          </w:p>
        </w:tc>
        <w:tc>
          <w:tcPr>
            <w:tcW w:w="776" w:type="dxa"/>
            <w:vAlign w:val="center"/>
          </w:tcPr>
          <w:p w14:paraId="5C60B27E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6" w:type="dxa"/>
            <w:vAlign w:val="center"/>
          </w:tcPr>
          <w:p w14:paraId="74DD96E0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论文</w:t>
            </w:r>
          </w:p>
        </w:tc>
        <w:tc>
          <w:tcPr>
            <w:tcW w:w="1029" w:type="dxa"/>
            <w:vAlign w:val="center"/>
          </w:tcPr>
          <w:p w14:paraId="3A1FC580">
            <w:pPr>
              <w:pStyle w:val="3"/>
              <w:spacing w:line="440" w:lineRule="exact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2026年6月</w:t>
            </w:r>
          </w:p>
          <w:p w14:paraId="1C5CB7DA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66" w:type="dxa"/>
            <w:vAlign w:val="center"/>
          </w:tcPr>
          <w:p w14:paraId="682D9917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高水平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SCI论文（影响因子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3.0）或IEEE ICC、IEEE Globecom两大旗舰会议论文共3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篇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移动方</w:t>
            </w:r>
            <w:r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均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为一作或通讯作者</w:t>
            </w:r>
            <w:r>
              <w:rPr>
                <w:rFonts w:hint="eastAsia" w:ascii="仿宋" w:hAnsi="仿宋" w:eastAsia="仿宋" w:cs="仿宋"/>
                <w:i w:val="0"/>
                <w:iCs w:val="0"/>
                <w:sz w:val="21"/>
                <w:szCs w:val="21"/>
                <w:vertAlign w:val="baseline"/>
                <w:lang w:val="en-US" w:eastAsia="zh-CN"/>
              </w:rPr>
              <w:t>（包含共同一作与共同通讯作者），收到录用通知</w:t>
            </w:r>
            <w:bookmarkStart w:id="1" w:name="_GoBack"/>
            <w:bookmarkEnd w:id="1"/>
          </w:p>
        </w:tc>
        <w:tc>
          <w:tcPr>
            <w:tcW w:w="942" w:type="dxa"/>
            <w:vAlign w:val="center"/>
          </w:tcPr>
          <w:p w14:paraId="03A657C5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否</w:t>
            </w:r>
          </w:p>
        </w:tc>
        <w:tc>
          <w:tcPr>
            <w:tcW w:w="877" w:type="dxa"/>
            <w:vAlign w:val="center"/>
          </w:tcPr>
          <w:p w14:paraId="1FF60008">
            <w:pPr>
              <w:pStyle w:val="3"/>
              <w:spacing w:line="440" w:lineRule="exact"/>
              <w:rPr>
                <w:rFonts w:hint="default" w:ascii="仿宋" w:hAnsi="仿宋" w:eastAsia="仿宋" w:cs="仿宋"/>
                <w:i/>
                <w:iCs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双方共有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C7F644A">
            <w:pPr>
              <w:pStyle w:val="3"/>
              <w:spacing w:line="440" w:lineRule="exact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其他</w:t>
            </w:r>
          </w:p>
        </w:tc>
      </w:tr>
      <w:tr w14:paraId="1F41A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554" w:type="dxa"/>
            <w:vAlign w:val="center"/>
          </w:tcPr>
          <w:p w14:paraId="33388607">
            <w:pPr>
              <w:pStyle w:val="3"/>
              <w:spacing w:line="440" w:lineRule="exact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226" w:type="dxa"/>
            <w:vAlign w:val="center"/>
          </w:tcPr>
          <w:p w14:paraId="73A04C0D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AI空口神经网络分析软件平台</w:t>
            </w:r>
          </w:p>
        </w:tc>
        <w:tc>
          <w:tcPr>
            <w:tcW w:w="776" w:type="dxa"/>
            <w:vAlign w:val="center"/>
          </w:tcPr>
          <w:p w14:paraId="63065B47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6" w:type="dxa"/>
            <w:vAlign w:val="center"/>
          </w:tcPr>
          <w:p w14:paraId="29EA7263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仿真平台</w:t>
            </w:r>
          </w:p>
        </w:tc>
        <w:tc>
          <w:tcPr>
            <w:tcW w:w="1029" w:type="dxa"/>
            <w:vAlign w:val="center"/>
          </w:tcPr>
          <w:p w14:paraId="414D9BDD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2026年6月</w:t>
            </w:r>
          </w:p>
        </w:tc>
        <w:tc>
          <w:tcPr>
            <w:tcW w:w="1866" w:type="dxa"/>
            <w:vAlign w:val="center"/>
          </w:tcPr>
          <w:p w14:paraId="2C796DD4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支撑所提技术方案的仿真评估</w:t>
            </w:r>
          </w:p>
        </w:tc>
        <w:tc>
          <w:tcPr>
            <w:tcW w:w="942" w:type="dxa"/>
            <w:vAlign w:val="center"/>
          </w:tcPr>
          <w:p w14:paraId="2B756DBF">
            <w:pPr>
              <w:pStyle w:val="3"/>
              <w:spacing w:line="440" w:lineRule="exact"/>
              <w:rPr>
                <w:rFonts w:hint="eastAsia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是</w:t>
            </w:r>
          </w:p>
        </w:tc>
        <w:tc>
          <w:tcPr>
            <w:tcW w:w="877" w:type="dxa"/>
            <w:vAlign w:val="center"/>
          </w:tcPr>
          <w:p w14:paraId="2FDF4AA0">
            <w:pPr>
              <w:pStyle w:val="3"/>
              <w:spacing w:line="440" w:lineRule="exact"/>
              <w:rPr>
                <w:rFonts w:hint="default" w:ascii="仿宋" w:hAnsi="仿宋" w:eastAsia="仿宋" w:cs="仿宋"/>
                <w:i/>
                <w:i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双方共有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510DBFA">
            <w:pPr>
              <w:pStyle w:val="3"/>
              <w:spacing w:line="440" w:lineRule="exact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软件</w:t>
            </w:r>
          </w:p>
        </w:tc>
      </w:tr>
    </w:tbl>
    <w:p w14:paraId="066241AA">
      <w:pPr>
        <w:rPr>
          <w:rFonts w:hint="eastAsia" w:ascii="仿宋" w:hAnsi="仿宋" w:eastAsia="仿宋" w:cs="仿宋"/>
          <w:color w:val="FF0000"/>
          <w:sz w:val="24"/>
          <w:szCs w:val="24"/>
          <w:lang w:eastAsia="zh-CN"/>
        </w:rPr>
      </w:pPr>
    </w:p>
    <w:p w14:paraId="5FF31449">
      <w:pPr>
        <w:rPr>
          <w:rFonts w:hint="eastAsia" w:ascii="仿宋" w:hAnsi="仿宋" w:eastAsia="仿宋" w:cs="仿宋"/>
          <w:b w:val="0"/>
          <w:bCs w:val="0"/>
          <w:color w:val="FF0000"/>
          <w:sz w:val="22"/>
          <w:szCs w:val="28"/>
          <w:lang w:eastAsia="zh-CN"/>
        </w:rPr>
      </w:pPr>
    </w:p>
    <w:p w14:paraId="22A83474">
      <w:pPr>
        <w:widowControl/>
        <w:numPr>
          <w:ilvl w:val="0"/>
          <w:numId w:val="1"/>
        </w:numPr>
        <w:ind w:left="0" w:leftChars="0" w:firstLine="420" w:firstLineChars="0"/>
        <w:jc w:val="both"/>
        <w:rPr>
          <w:rFonts w:hint="eastAsia" w:ascii="仿宋_GB2312" w:hAnsi="仿宋" w:eastAsia="仿宋_GB2312"/>
          <w:b w:val="0"/>
          <w:bCs w:val="0"/>
          <w:i/>
          <w:iCs/>
          <w:color w:val="FF0000"/>
          <w:sz w:val="30"/>
          <w:szCs w:val="30"/>
          <w:highlight w:val="none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0"/>
          <w:szCs w:val="30"/>
          <w:highlight w:val="none"/>
          <w:lang w:eastAsia="zh-CN"/>
        </w:rPr>
        <w:t>合作团队与配套需求</w:t>
      </w:r>
    </w:p>
    <w:p w14:paraId="01672B46">
      <w:pPr>
        <w:spacing w:line="588" w:lineRule="exact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1、合作团队：教授或副教授或讲师或相当专家3名；团队需具备丰富的A</w:t>
      </w:r>
      <w:r>
        <w:rPr>
          <w:rFonts w:ascii="仿宋_GB2312" w:hAnsi="仿宋" w:eastAsia="仿宋_GB2312"/>
          <w:bCs/>
          <w:sz w:val="30"/>
          <w:szCs w:val="30"/>
        </w:rPr>
        <w:t>I</w:t>
      </w:r>
      <w:r>
        <w:rPr>
          <w:rFonts w:hint="eastAsia" w:ascii="仿宋_GB2312" w:hAnsi="仿宋" w:eastAsia="仿宋_GB2312"/>
          <w:bCs/>
          <w:sz w:val="30"/>
          <w:szCs w:val="30"/>
        </w:rPr>
        <w:t>空口研究经验，具备高质量学术论文能力，在国内/国际上有着较大的影响力。每年投入充足研究生及以上学历的学生或相关专家承担技术研究</w:t>
      </w:r>
      <w:r>
        <w:rPr>
          <w:rFonts w:hint="eastAsia" w:ascii="仿宋_GB2312" w:hAnsi="仿宋" w:eastAsia="仿宋_GB2312"/>
          <w:b/>
          <w:bCs/>
          <w:sz w:val="30"/>
          <w:szCs w:val="30"/>
        </w:rPr>
        <w:t>。</w:t>
      </w:r>
    </w:p>
    <w:p w14:paraId="1ECC5F0B">
      <w:pPr>
        <w:spacing w:line="588" w:lineRule="exact"/>
        <w:ind w:left="6"/>
        <w:rPr>
          <w:rFonts w:hint="eastAsia" w:ascii="仿宋_GB2312" w:hAnsi="仿宋" w:eastAsia="仿宋_GB2312"/>
          <w:b/>
          <w:bCs w:val="0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sz w:val="30"/>
          <w:szCs w:val="30"/>
        </w:rPr>
        <w:t>2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/>
          <w:sz w:val="30"/>
          <w:szCs w:val="30"/>
        </w:rPr>
        <w:t>配套需求：物理层链路和系统仿真平台，高质量信道数据生成平台，支持AI空口研究的先进G</w:t>
      </w:r>
      <w:r>
        <w:rPr>
          <w:rFonts w:ascii="仿宋_GB2312" w:hAnsi="仿宋" w:eastAsia="仿宋_GB2312"/>
          <w:sz w:val="30"/>
          <w:szCs w:val="30"/>
        </w:rPr>
        <w:t>PU</w:t>
      </w:r>
      <w:r>
        <w:rPr>
          <w:rFonts w:hint="eastAsia" w:ascii="仿宋_GB2312" w:hAnsi="仿宋" w:eastAsia="仿宋_GB2312"/>
          <w:sz w:val="30"/>
          <w:szCs w:val="30"/>
        </w:rPr>
        <w:t>算力集群和验证平台。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BCE8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5BD96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5BD96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DFBB30"/>
    <w:multiLevelType w:val="singleLevel"/>
    <w:tmpl w:val="FCDFBB3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b/>
        <w:bCs/>
        <w:i w:val="0"/>
        <w:iCs w:val="0"/>
        <w:color w:val="000000" w:themeColor="text1"/>
        <w14:textFill>
          <w14:solidFill>
            <w14:schemeClr w14:val="tx1"/>
          </w14:solidFill>
        </w14:textFill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23E2C"/>
    <w:rsid w:val="057439F3"/>
    <w:rsid w:val="07A9711F"/>
    <w:rsid w:val="12395FBE"/>
    <w:rsid w:val="16D8346F"/>
    <w:rsid w:val="1E171E3D"/>
    <w:rsid w:val="230C3B8F"/>
    <w:rsid w:val="25215150"/>
    <w:rsid w:val="27FF116B"/>
    <w:rsid w:val="2B0304C6"/>
    <w:rsid w:val="349433E1"/>
    <w:rsid w:val="36023E2C"/>
    <w:rsid w:val="36142D48"/>
    <w:rsid w:val="366D65E0"/>
    <w:rsid w:val="3A964DF4"/>
    <w:rsid w:val="3CC5165E"/>
    <w:rsid w:val="416306E8"/>
    <w:rsid w:val="41774922"/>
    <w:rsid w:val="48CC3EB7"/>
    <w:rsid w:val="4EF274D2"/>
    <w:rsid w:val="52BF6B77"/>
    <w:rsid w:val="53024275"/>
    <w:rsid w:val="56A64662"/>
    <w:rsid w:val="570D71D8"/>
    <w:rsid w:val="5DA35396"/>
    <w:rsid w:val="614824CE"/>
    <w:rsid w:val="61E66CAD"/>
    <w:rsid w:val="637123C4"/>
    <w:rsid w:val="7282543E"/>
    <w:rsid w:val="74180EE3"/>
    <w:rsid w:val="765A5502"/>
    <w:rsid w:val="7E6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_Style 7"/>
    <w:basedOn w:val="1"/>
    <w:next w:val="10"/>
    <w:qFormat/>
    <w:uiPriority w:val="34"/>
    <w:pPr>
      <w:ind w:firstLine="420" w:firstLine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研究院</Company>
  <Pages>4</Pages>
  <Words>1529</Words>
  <Characters>1628</Characters>
  <Lines>0</Lines>
  <Paragraphs>0</Paragraphs>
  <TotalTime>57</TotalTime>
  <ScaleCrop>false</ScaleCrop>
  <LinksUpToDate>false</LinksUpToDate>
  <CharactersWithSpaces>1635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2024-04-23T02:40:00Z</dcterms:created>
  <dc:creator>zhangliyezi</dc:creator>
  <cp:lastModifiedBy>zhangliyezi</cp:lastModifiedBy>
  <dcterms:modified xsi:type="dcterms:W3CDTF">2025-04-29T09:16:53Z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645F30C0BB6D47908ADD125317756FC0_13</vt:lpwstr>
  </property>
  <property fmtid="{D5CDD505-2E9C-101B-9397-08002B2CF9AE}" pid="4" name="KSOTemplateDocerSaveRecord">
    <vt:lpwstr>eyJoZGlkIjoiODViY2JkMjU3NGYzZTEwMzZmMGFkZWViYmNkYWU3NDIiLCJ1c2VySWQiOiI2OTU1MjM4OTUifQ==</vt:lpwstr>
  </property>
</Properties>
</file>